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6A37D">
      <w:pPr>
        <w:pStyle w:val="2"/>
        <w:widowControl/>
        <w:spacing w:line="360" w:lineRule="auto"/>
        <w:jc w:val="center"/>
        <w:rPr>
          <w:color w:val="000000" w:themeColor="text1"/>
          <w:sz w:val="24"/>
          <w:szCs w:val="24"/>
          <w:lang w:val="ru"/>
          <w14:textFill>
            <w14:solidFill>
              <w14:schemeClr w14:val="tx1"/>
            </w14:solidFill>
          </w14:textFill>
        </w:rPr>
      </w:pPr>
      <w:r>
        <w:rPr>
          <w:color w:val="000000" w:themeColor="text1"/>
          <w:sz w:val="24"/>
          <w:szCs w:val="24"/>
          <w:lang w:val="en-US"/>
          <w14:textFill>
            <w14:solidFill>
              <w14:schemeClr w14:val="tx1"/>
            </w14:solidFill>
          </w14:textFill>
        </w:rPr>
        <w:t>CURRENT APPROACHES TO THE DIAGNOSIS, TREATMENT, AND PROGNOSIS OF OSTEOSARCOMA</w:t>
      </w:r>
    </w:p>
    <w:p w14:paraId="1B736F4C">
      <w:pPr>
        <w:pStyle w:val="2"/>
        <w:widowControl/>
        <w:spacing w:before="0" w:beforeAutospacing="0" w:after="0" w:afterAutospacing="0"/>
        <w:ind w:left="0" w:right="0"/>
        <w:jc w:val="center"/>
        <w:rPr>
          <w:color w:val="1F497D" w:themeColor="text2"/>
          <w:sz w:val="24"/>
          <w:szCs w:val="24"/>
          <w:lang w:val="en-US"/>
          <w14:textFill>
            <w14:solidFill>
              <w14:schemeClr w14:val="tx2"/>
            </w14:solidFill>
          </w14:textFill>
        </w:rPr>
      </w:pPr>
      <w:bookmarkStart w:id="0" w:name="_GoBack"/>
      <w:r>
        <w:rPr>
          <w:color w:val="1F497D" w:themeColor="text2"/>
          <w:sz w:val="24"/>
          <w:szCs w:val="24"/>
          <w:lang w:val="en-US"/>
          <w14:textFill>
            <w14:solidFill>
              <w14:schemeClr w14:val="tx2"/>
            </w14:solidFill>
          </w14:textFill>
        </w:rPr>
        <w:t>S</w:t>
      </w:r>
      <w:r>
        <w:rPr>
          <w:color w:val="1F497D" w:themeColor="text2"/>
          <w:sz w:val="24"/>
          <w:szCs w:val="24"/>
          <w:lang w:val="en-US"/>
          <w14:textFill>
            <w14:solidFill>
              <w14:schemeClr w14:val="tx2"/>
            </w14:solidFill>
          </w14:textFill>
        </w:rPr>
        <w:t xml:space="preserve">haymardanov </w:t>
      </w:r>
      <w:bookmarkEnd w:id="0"/>
      <w:r>
        <w:rPr>
          <w:color w:val="1F497D" w:themeColor="text2"/>
          <w:sz w:val="24"/>
          <w:szCs w:val="24"/>
          <w:lang w:val="en-US"/>
          <w14:textFill>
            <w14:solidFill>
              <w14:schemeClr w14:val="tx2"/>
            </w14:solidFill>
          </w14:textFill>
        </w:rPr>
        <w:t>Sunatullo</w:t>
      </w:r>
    </w:p>
    <w:p w14:paraId="7228A474">
      <w:pPr>
        <w:pStyle w:val="2"/>
        <w:widowControl/>
        <w:spacing w:before="0" w:beforeAutospacing="0" w:after="0" w:afterAutospacing="0"/>
        <w:ind w:left="0" w:right="0"/>
        <w:jc w:val="center"/>
        <w:rPr>
          <w:color w:val="1F497D" w:themeColor="text2"/>
          <w:sz w:val="24"/>
          <w:szCs w:val="24"/>
          <w:lang w:val="en-US"/>
          <w14:textFill>
            <w14:solidFill>
              <w14:schemeClr w14:val="tx2"/>
            </w14:solidFill>
          </w14:textFill>
        </w:rPr>
      </w:pPr>
      <w:r>
        <w:rPr>
          <w:color w:val="1F497D" w:themeColor="text2"/>
          <w:sz w:val="24"/>
          <w:szCs w:val="24"/>
          <w:lang w:val="en-US"/>
          <w14:textFill>
            <w14:solidFill>
              <w14:schemeClr w14:val="tx2"/>
            </w14:solidFill>
          </w14:textFill>
        </w:rPr>
        <w:t>Surkhandarya branch of Republican oncology center</w:t>
      </w:r>
    </w:p>
    <w:p w14:paraId="044A3535">
      <w:pPr>
        <w:pStyle w:val="3"/>
        <w:widowControl/>
        <w:spacing w:line="360" w:lineRule="auto"/>
        <w:ind w:left="0" w:firstLine="700"/>
        <w:jc w:val="both"/>
        <w:rPr>
          <w:sz w:val="24"/>
          <w:szCs w:val="24"/>
          <w:lang w:val="en-US"/>
        </w:rPr>
      </w:pPr>
      <w:r>
        <w:rPr>
          <w:sz w:val="24"/>
          <w:szCs w:val="24"/>
          <w:lang w:val="en-US"/>
        </w:rPr>
        <w:t xml:space="preserve">Abstract. </w:t>
      </w:r>
      <w:r>
        <w:rPr>
          <w:b w:val="0"/>
          <w:bCs/>
          <w:sz w:val="24"/>
          <w:szCs w:val="24"/>
          <w:lang w:val="en-US"/>
        </w:rPr>
        <w:t>Osteosarcoma is the most common primary malignant bone tumor, predominantly affecting children, adolescents, and young adults. Despite significant advances in oncology, orthopedic surgery, and chemotherapy, osteosarcoma remains a major challenge due to its aggressive biological behavior and high potential for metastasis. The disease most frequently arises in the metaphyseal regions of long bones, particularly around the knee joint. Early diagnosis and multidisciplinary treatment approaches have considerably improved survival outcomes over the past decades. However, the prognosis for patients with metastatic or recurrent disease remains poor. The present study examines the epidemiological characteristics, risk factors, diagnostic methods, treatment strategies, and prognostic indicators associated with osteosarcoma. Recent statistical data and findings from international clinical studies are analyzed to evaluate current trends in patient outcomes and future directions in osteosarcoma management.</w:t>
      </w:r>
    </w:p>
    <w:p w14:paraId="67DD607D">
      <w:pPr>
        <w:pStyle w:val="3"/>
        <w:widowControl/>
        <w:spacing w:line="360" w:lineRule="auto"/>
        <w:ind w:left="0" w:firstLine="700"/>
        <w:jc w:val="both"/>
        <w:rPr>
          <w:sz w:val="24"/>
          <w:szCs w:val="24"/>
          <w:lang w:val="en-US"/>
        </w:rPr>
      </w:pPr>
      <w:r>
        <w:rPr>
          <w:sz w:val="24"/>
          <w:szCs w:val="24"/>
          <w:lang w:val="en-US"/>
        </w:rPr>
        <w:t xml:space="preserve">Keywords: </w:t>
      </w:r>
      <w:r>
        <w:rPr>
          <w:b w:val="0"/>
          <w:bCs/>
          <w:sz w:val="24"/>
          <w:szCs w:val="24"/>
          <w:lang w:val="en-US"/>
        </w:rPr>
        <w:t>Osteosarcoma, bone cancer, malignant bone tumor, chemotherapy, limb-salvage surgery, metastasis, oncology, diagnosis, prognosis, pediatric cancer.</w:t>
      </w:r>
    </w:p>
    <w:p w14:paraId="024847FC">
      <w:pPr>
        <w:pStyle w:val="3"/>
        <w:widowControl/>
        <w:spacing w:line="360" w:lineRule="auto"/>
        <w:ind w:left="0" w:firstLine="700"/>
        <w:jc w:val="both"/>
        <w:rPr>
          <w:b w:val="0"/>
          <w:bCs/>
          <w:sz w:val="24"/>
          <w:szCs w:val="24"/>
          <w:lang w:val="en-US"/>
        </w:rPr>
      </w:pPr>
      <w:r>
        <w:rPr>
          <w:sz w:val="24"/>
          <w:szCs w:val="24"/>
          <w:lang w:val="en-US"/>
        </w:rPr>
        <w:t xml:space="preserve">Relevance. </w:t>
      </w:r>
      <w:r>
        <w:rPr>
          <w:b w:val="0"/>
          <w:bCs/>
          <w:sz w:val="24"/>
          <w:szCs w:val="24"/>
          <w:lang w:val="en-US"/>
        </w:rPr>
        <w:t>Osteosarcoma represents one of the most significant malignant bone tumors affecting the pediatric and adolescent population worldwide. Although it accounts for less than one percent of all cancers diagnosed annually, it is responsible for a substantial proportion of cancer-related morbidity and mortality among children and young adults. The disease is characterized by the production of malignant osteoid tissue by tumor cells and demonstrates a strong tendency toward local invasion and distant metastasis, particularly to the lungs.</w:t>
      </w:r>
    </w:p>
    <w:p w14:paraId="759AD5AF">
      <w:pPr>
        <w:pStyle w:val="22"/>
        <w:widowControl/>
        <w:spacing w:line="360" w:lineRule="auto"/>
        <w:ind w:left="0" w:firstLine="700"/>
        <w:jc w:val="both"/>
        <w:rPr>
          <w:sz w:val="24"/>
          <w:szCs w:val="24"/>
          <w:lang w:val="en-US"/>
        </w:rPr>
      </w:pPr>
      <w:r>
        <w:rPr>
          <w:sz w:val="24"/>
          <w:szCs w:val="24"/>
          <w:lang w:val="en-US"/>
        </w:rPr>
        <w:t>The global burden of osteosarcoma remains considerable despite improvements in diagnostic imaging, surgical techniques, and systemic therapies. According to recent epidemiological studies, osteosarcoma accounts for approximately 35–50% of all primary malignant bone tumors. The annual incidence rate is estimated at 3–5 cases per million population, with the highest incidence observed during periods of rapid skeletal growth in adolescence. Males are affected slightly more frequently than females, with a male-to-female ratio of approximately 1.4:1.</w:t>
      </w:r>
    </w:p>
    <w:p w14:paraId="06B0C2C0">
      <w:pPr>
        <w:pStyle w:val="22"/>
        <w:widowControl/>
        <w:spacing w:line="360" w:lineRule="auto"/>
        <w:ind w:left="0" w:firstLine="700"/>
        <w:jc w:val="both"/>
        <w:rPr>
          <w:sz w:val="24"/>
          <w:szCs w:val="24"/>
          <w:lang w:val="en-US"/>
        </w:rPr>
      </w:pPr>
      <w:r>
        <w:rPr>
          <w:sz w:val="24"/>
          <w:szCs w:val="24"/>
          <w:lang w:val="en-US"/>
        </w:rPr>
        <w:t>The relevance of osteosarcoma research continues to increase due to the limited progress achieved in improving survival rates among patients with metastatic disease. While localized osteosarcoma can often be treated successfully with modern multimodal therapy, patients presenting with pulmonary metastases or recurrent tumors continue to experience significantly lower survival outcomes. Therefore, the development of more effective diagnostic tools and therapeutic strategies remains a priority in orthopedic oncology.</w:t>
      </w:r>
    </w:p>
    <w:p w14:paraId="2CB079A0">
      <w:pPr>
        <w:pStyle w:val="3"/>
        <w:widowControl/>
        <w:spacing w:line="360" w:lineRule="auto"/>
        <w:ind w:left="0" w:firstLine="700"/>
        <w:jc w:val="both"/>
        <w:rPr>
          <w:b w:val="0"/>
          <w:bCs/>
          <w:sz w:val="24"/>
          <w:szCs w:val="24"/>
          <w:lang w:val="en-US"/>
        </w:rPr>
      </w:pPr>
      <w:r>
        <w:rPr>
          <w:sz w:val="24"/>
          <w:szCs w:val="24"/>
          <w:lang w:val="en-US"/>
        </w:rPr>
        <w:t xml:space="preserve">Aim of the Study. </w:t>
      </w:r>
      <w:r>
        <w:rPr>
          <w:b w:val="0"/>
          <w:bCs/>
          <w:sz w:val="24"/>
          <w:szCs w:val="24"/>
          <w:lang w:val="en-US"/>
        </w:rPr>
        <w:t>The aim of this study is to analyze contemporary approaches to the diagnosis and treatment of osteosarcoma and to evaluate the impact of recent advances in medical technology and multidisciplinary management on patient survival and prognosis.</w:t>
      </w:r>
    </w:p>
    <w:p w14:paraId="454B3724">
      <w:pPr>
        <w:pStyle w:val="3"/>
        <w:widowControl/>
        <w:spacing w:line="360" w:lineRule="auto"/>
        <w:ind w:left="0" w:firstLine="700"/>
        <w:jc w:val="both"/>
        <w:rPr>
          <w:b w:val="0"/>
          <w:bCs/>
          <w:sz w:val="24"/>
          <w:szCs w:val="24"/>
          <w:lang w:val="en-US"/>
        </w:rPr>
      </w:pPr>
      <w:r>
        <w:rPr>
          <w:sz w:val="24"/>
          <w:szCs w:val="24"/>
          <w:lang w:val="en-US"/>
        </w:rPr>
        <w:t xml:space="preserve">Materials and Methods. </w:t>
      </w:r>
      <w:r>
        <w:rPr>
          <w:b w:val="0"/>
          <w:bCs/>
          <w:sz w:val="24"/>
          <w:szCs w:val="24"/>
          <w:lang w:val="en-US"/>
        </w:rPr>
        <w:t>The present study is based on a comprehensive review of scientific literature published between 2020 and 2025. Relevant data were obtained from peer-reviewed journals, international oncology databases, clinical guidelines, and reports from major cancer organizations. Publications indexed in PubMed, Scopus, Web of Science, and Google Scholar were examined to identify recent developments in osteosarcoma diagnosis and treatment.</w:t>
      </w:r>
    </w:p>
    <w:p w14:paraId="59D7BFF9">
      <w:pPr>
        <w:pStyle w:val="22"/>
        <w:widowControl/>
        <w:spacing w:line="360" w:lineRule="auto"/>
        <w:ind w:left="0" w:firstLine="700"/>
        <w:jc w:val="both"/>
        <w:rPr>
          <w:sz w:val="24"/>
          <w:szCs w:val="24"/>
          <w:lang w:val="en-US"/>
        </w:rPr>
      </w:pPr>
      <w:r>
        <w:rPr>
          <w:sz w:val="24"/>
          <w:szCs w:val="24"/>
          <w:lang w:val="en-US"/>
        </w:rPr>
        <w:t>The methodology included comparative analysis, literature review, statistical evaluation of epidemiological data, and synthesis of findings from clinical trials. Special attention was given to studies investigating diagnostic imaging modalities, chemotherapy protocols, surgical outcomes, and survival rates among osteosarcoma patients.</w:t>
      </w:r>
    </w:p>
    <w:p w14:paraId="32E82792">
      <w:pPr>
        <w:pStyle w:val="3"/>
        <w:widowControl/>
        <w:spacing w:line="360" w:lineRule="auto"/>
        <w:ind w:left="0" w:firstLine="700"/>
        <w:jc w:val="both"/>
        <w:rPr>
          <w:b w:val="0"/>
          <w:bCs/>
          <w:sz w:val="24"/>
          <w:szCs w:val="24"/>
          <w:lang w:val="en-US"/>
        </w:rPr>
      </w:pPr>
      <w:r>
        <w:rPr>
          <w:sz w:val="24"/>
          <w:szCs w:val="24"/>
          <w:lang w:val="en-US"/>
        </w:rPr>
        <w:t xml:space="preserve">Results and Discussion. </w:t>
      </w:r>
      <w:r>
        <w:rPr>
          <w:b w:val="0"/>
          <w:bCs/>
          <w:sz w:val="24"/>
          <w:szCs w:val="24"/>
          <w:lang w:val="en-US"/>
        </w:rPr>
        <w:t>The analysis revealed that osteosarcoma predominantly affects individuals between the ages of 10 and 25 years. Epidemiological studies indicate that nearly 60% of cases are diagnosed during adolescence, coinciding with periods of accelerated bone growth. The distal femur, proximal tibia, and proximal humerus are the most frequently affected anatomical locations.</w:t>
      </w:r>
    </w:p>
    <w:p w14:paraId="0163D07D">
      <w:pPr>
        <w:pStyle w:val="22"/>
        <w:widowControl/>
        <w:spacing w:line="360" w:lineRule="auto"/>
        <w:ind w:left="0" w:firstLine="700"/>
        <w:jc w:val="both"/>
        <w:rPr>
          <w:sz w:val="24"/>
          <w:szCs w:val="24"/>
          <w:lang w:val="en-US"/>
        </w:rPr>
      </w:pPr>
      <w:r>
        <w:rPr>
          <w:sz w:val="24"/>
          <w:szCs w:val="24"/>
          <w:lang w:val="en-US"/>
        </w:rPr>
        <w:t>Current evidence suggests that the etiology of osteosarcoma is multifactorial. Genetic predisposition plays a significant role in disease development. Mutations involving tumor suppressor genes such as TP53 and RB1 have been identified in a considerable number of patients. Individuals with hereditary cancer syndromes, including Li-Fraumeni syndrome and hereditary retinoblastoma, demonstrate a substantially increased risk of developing osteosarcoma.</w:t>
      </w:r>
    </w:p>
    <w:p w14:paraId="1670CAD5">
      <w:pPr>
        <w:pStyle w:val="22"/>
        <w:widowControl/>
        <w:spacing w:line="360" w:lineRule="auto"/>
        <w:ind w:left="0" w:firstLine="700"/>
        <w:jc w:val="both"/>
        <w:rPr>
          <w:sz w:val="24"/>
          <w:szCs w:val="24"/>
          <w:lang w:val="en-US"/>
        </w:rPr>
      </w:pPr>
      <w:r>
        <w:rPr>
          <w:sz w:val="24"/>
          <w:szCs w:val="24"/>
          <w:lang w:val="en-US"/>
        </w:rPr>
        <w:t>Clinical manifestations commonly include localized pain, swelling, reduced joint mobility, and functional impairment of the affected limb. In many cases, symptoms progress gradually over several months before diagnosis. Delayed recognition frequently contributes to disease progression and metastasis.</w:t>
      </w:r>
    </w:p>
    <w:p w14:paraId="7F634971">
      <w:pPr>
        <w:pStyle w:val="22"/>
        <w:widowControl/>
        <w:spacing w:line="360" w:lineRule="auto"/>
        <w:ind w:left="0" w:firstLine="700"/>
        <w:jc w:val="both"/>
        <w:rPr>
          <w:sz w:val="24"/>
          <w:szCs w:val="24"/>
          <w:lang w:val="en-US"/>
        </w:rPr>
      </w:pPr>
      <w:r>
        <w:rPr>
          <w:sz w:val="24"/>
          <w:szCs w:val="24"/>
          <w:lang w:val="en-US"/>
        </w:rPr>
        <w:t>Diagnostic evaluation of osteosarcoma requires a combination of clinical examination, imaging studies, histopathological assessment, and laboratory investigations. Conventional radiography remains an important initial diagnostic tool. Characteristic findings include cortical destruction, periosteal reaction, and the formation of a sunburst appearance resulting from aggressive tumor growth. Magnetic resonance imaging provides detailed visualization of tumor extent and soft tissue involvement, while computed tomography plays a critical role in detecting pulmonary metastases.</w:t>
      </w:r>
    </w:p>
    <w:p w14:paraId="643BBA46">
      <w:pPr>
        <w:pStyle w:val="22"/>
        <w:widowControl/>
        <w:spacing w:line="360" w:lineRule="auto"/>
        <w:ind w:left="0" w:firstLine="700"/>
        <w:jc w:val="both"/>
        <w:rPr>
          <w:sz w:val="24"/>
          <w:szCs w:val="24"/>
          <w:lang w:val="en-US"/>
        </w:rPr>
      </w:pPr>
      <w:r>
        <w:rPr>
          <w:sz w:val="24"/>
          <w:szCs w:val="24"/>
          <w:lang w:val="en-US"/>
        </w:rPr>
        <w:t>Recent studies indicate that approximately 15–20% of patients present with detectable metastases at the time of diagnosis. Among these cases, nearly 85% involve metastatic lesions in the lungs. Advances in imaging technology have improved the sensitivity of metastatic detection, enabling more accurate staging and treatment planning.</w:t>
      </w:r>
    </w:p>
    <w:p w14:paraId="3A082097">
      <w:pPr>
        <w:pStyle w:val="22"/>
        <w:widowControl/>
        <w:spacing w:line="360" w:lineRule="auto"/>
        <w:ind w:left="0" w:firstLine="700"/>
        <w:jc w:val="both"/>
        <w:rPr>
          <w:sz w:val="24"/>
          <w:szCs w:val="24"/>
          <w:lang w:val="en-US"/>
        </w:rPr>
      </w:pPr>
      <w:r>
        <w:rPr>
          <w:sz w:val="24"/>
          <w:szCs w:val="24"/>
          <w:lang w:val="en-US"/>
        </w:rPr>
        <w:t>The introduction of neoadjuvant and adjuvant chemotherapy has transformed osteosarcoma management. Prior to the development of modern chemotherapy protocols during the 1970s, long-term survival rates rarely exceeded 20%. Contemporary treatment strategies typically combine multi-agent chemotherapy with surgical resection. Commonly utilized chemotherapeutic agents include methotrexate, doxorubicin, cisplatin, and ifosfamide.</w:t>
      </w:r>
    </w:p>
    <w:p w14:paraId="36F6D85A">
      <w:pPr>
        <w:pStyle w:val="22"/>
        <w:widowControl/>
        <w:spacing w:line="360" w:lineRule="auto"/>
        <w:ind w:left="0" w:firstLine="700"/>
        <w:jc w:val="both"/>
        <w:rPr>
          <w:sz w:val="24"/>
          <w:szCs w:val="24"/>
          <w:lang w:val="en-US"/>
        </w:rPr>
      </w:pPr>
      <w:r>
        <w:rPr>
          <w:sz w:val="24"/>
          <w:szCs w:val="24"/>
          <w:lang w:val="en-US"/>
        </w:rPr>
        <w:t>Clinical data demonstrate that the five-year overall survival rate for patients with localized osteosarcoma currently ranges between 65% and 75%. In contrast, patients with metastatic disease at diagnosis experience significantly poorer outcomes, with five-year survival rates generally ranging from 20% to 35%. These findings highlight the critical importance of early detection and aggressive treatment.</w:t>
      </w:r>
    </w:p>
    <w:p w14:paraId="583E86BB">
      <w:pPr>
        <w:pStyle w:val="22"/>
        <w:widowControl/>
        <w:spacing w:line="360" w:lineRule="auto"/>
        <w:ind w:left="0" w:firstLine="700"/>
        <w:jc w:val="both"/>
        <w:rPr>
          <w:sz w:val="24"/>
          <w:szCs w:val="24"/>
          <w:lang w:val="en-US"/>
        </w:rPr>
      </w:pPr>
      <w:r>
        <w:rPr>
          <w:sz w:val="24"/>
          <w:szCs w:val="24"/>
          <w:lang w:val="en-US"/>
        </w:rPr>
        <w:t>One of the most significant advances in osteosarcoma management has been the widespread adoption of limb-salvage surgery. Historically, amputation was considered the standard surgical approach. Today, advances in reconstructive surgery, endoprosthetic replacement, and biological reconstruction techniques allow limb preservation in approximately 80–90% of patients. Numerous studies have demonstrated that limb-salvage procedures provide oncological outcomes comparable to amputation while significantly improving quality of life and psychological well-being.</w:t>
      </w:r>
    </w:p>
    <w:p w14:paraId="062BFADD">
      <w:pPr>
        <w:pStyle w:val="22"/>
        <w:widowControl/>
        <w:spacing w:line="360" w:lineRule="auto"/>
        <w:ind w:left="0" w:firstLine="700"/>
        <w:jc w:val="both"/>
        <w:rPr>
          <w:sz w:val="24"/>
          <w:szCs w:val="24"/>
          <w:lang w:val="en-US"/>
        </w:rPr>
      </w:pPr>
      <w:r>
        <w:rPr>
          <w:sz w:val="24"/>
          <w:szCs w:val="24"/>
          <w:lang w:val="en-US"/>
        </w:rPr>
        <w:t>Recent research has focused on molecular targeted therapies and immunotherapy as potential treatment options for refractory or metastatic osteosarcoma. Investigational agents targeting angiogenesis, immune checkpoint pathways, and tumor-specific molecular mechanisms have demonstrated encouraging preliminary results. However, further clinical trials are necessary to establish their effectiveness and long-term safety.</w:t>
      </w:r>
    </w:p>
    <w:p w14:paraId="64127B71">
      <w:pPr>
        <w:pStyle w:val="22"/>
        <w:widowControl/>
        <w:spacing w:line="360" w:lineRule="auto"/>
        <w:ind w:left="0" w:firstLine="700"/>
        <w:jc w:val="both"/>
        <w:rPr>
          <w:sz w:val="24"/>
          <w:szCs w:val="24"/>
          <w:lang w:val="en-US"/>
        </w:rPr>
      </w:pPr>
      <w:r>
        <w:rPr>
          <w:sz w:val="24"/>
          <w:szCs w:val="24"/>
          <w:lang w:val="en-US"/>
        </w:rPr>
        <w:t>The economic burden of osteosarcoma remains substantial. Treatment often requires prolonged hospitalization, multiple surgical interventions, intensive chemotherapy, and long-term rehabilitation. Consequently, healthcare systems face considerable challenges in providing comprehensive care for affected individuals.</w:t>
      </w:r>
    </w:p>
    <w:p w14:paraId="47179BCD">
      <w:pPr>
        <w:pStyle w:val="22"/>
        <w:widowControl/>
        <w:spacing w:line="360" w:lineRule="auto"/>
        <w:ind w:left="0" w:firstLine="700"/>
        <w:jc w:val="both"/>
        <w:rPr>
          <w:sz w:val="24"/>
          <w:szCs w:val="24"/>
          <w:lang w:val="en-US"/>
        </w:rPr>
      </w:pPr>
      <w:r>
        <w:rPr>
          <w:sz w:val="24"/>
          <w:szCs w:val="24"/>
          <w:lang w:val="en-US"/>
        </w:rPr>
        <w:t>The psychological impact of osteosarcoma should not be underestimated. Many patients experience anxiety, depression, social isolation, and reduced quality of life during treatment. Multidisciplinary care involving oncologists, orthopedic surgeons, psychologists, physiotherapists, and rehabilitation specialists is essential for achieving optimal outcomes.</w:t>
      </w:r>
    </w:p>
    <w:p w14:paraId="78C5C147">
      <w:pPr>
        <w:pStyle w:val="22"/>
        <w:widowControl/>
        <w:spacing w:line="360" w:lineRule="auto"/>
        <w:ind w:left="0" w:firstLine="700"/>
        <w:jc w:val="both"/>
        <w:rPr>
          <w:sz w:val="24"/>
          <w:szCs w:val="24"/>
          <w:lang w:val="en-US"/>
        </w:rPr>
      </w:pPr>
      <w:r>
        <w:rPr>
          <w:sz w:val="24"/>
          <w:szCs w:val="24"/>
          <w:lang w:val="en-US"/>
        </w:rPr>
        <w:t>Future directions in osteosarcoma research include the identification of novel biomarkers for early diagnosis, the development of personalized treatment strategies based on genetic profiling, and the integration of artificial intelligence into diagnostic imaging and prognostic assessment. These innovations have the potential to further improve survival rates and enhance the quality of care provided to patients.</w:t>
      </w:r>
    </w:p>
    <w:p w14:paraId="0EEE1A2A">
      <w:pPr>
        <w:pStyle w:val="3"/>
        <w:widowControl/>
        <w:spacing w:line="360" w:lineRule="auto"/>
        <w:ind w:left="0" w:firstLine="700"/>
        <w:jc w:val="both"/>
        <w:rPr>
          <w:b w:val="0"/>
          <w:bCs/>
          <w:sz w:val="24"/>
          <w:szCs w:val="24"/>
          <w:lang w:val="en-US"/>
        </w:rPr>
      </w:pPr>
      <w:r>
        <w:rPr>
          <w:sz w:val="24"/>
          <w:szCs w:val="24"/>
          <w:lang w:val="en-US"/>
        </w:rPr>
        <w:t xml:space="preserve">Conclusion. </w:t>
      </w:r>
      <w:r>
        <w:rPr>
          <w:b w:val="0"/>
          <w:bCs/>
          <w:sz w:val="24"/>
          <w:szCs w:val="24"/>
          <w:lang w:val="en-US"/>
        </w:rPr>
        <w:t>Osteosarcoma remains one of the most aggressive primary malignant bone tumors affecting children, adolescents, and young adults. Although significant advances in diagnostic imaging, chemotherapy, and surgical techniques have improved patient outcomes, the disease continues to pose major clinical challenges, particularly in cases involving metastasis or recurrence.</w:t>
      </w:r>
    </w:p>
    <w:p w14:paraId="6719E4D8">
      <w:pPr>
        <w:pStyle w:val="22"/>
        <w:widowControl/>
        <w:spacing w:line="360" w:lineRule="auto"/>
        <w:ind w:left="0" w:firstLine="700"/>
        <w:jc w:val="both"/>
        <w:rPr>
          <w:sz w:val="24"/>
          <w:szCs w:val="24"/>
          <w:lang w:val="en-US"/>
        </w:rPr>
      </w:pPr>
      <w:r>
        <w:rPr>
          <w:sz w:val="24"/>
          <w:szCs w:val="24"/>
          <w:lang w:val="en-US"/>
        </w:rPr>
        <w:t>The findings of this study demonstrate that early diagnosis and multidisciplinary treatment significantly increase survival rates and improve long-term prognosis. Modern chemotherapy protocols combined with limb-salvage surgery have transformed osteosarcoma management and allowed many patients to maintain functional independence and quality of life.</w:t>
      </w:r>
    </w:p>
    <w:p w14:paraId="051C26AA">
      <w:pPr>
        <w:pStyle w:val="11"/>
        <w:widowControl/>
        <w:spacing w:line="360" w:lineRule="auto"/>
        <w:ind w:left="0" w:firstLine="700"/>
        <w:jc w:val="both"/>
        <w:rPr>
          <w:sz w:val="24"/>
          <w:szCs w:val="24"/>
          <w:lang w:val="en-US"/>
        </w:rPr>
      </w:pPr>
      <w:r>
        <w:rPr>
          <w:sz w:val="24"/>
          <w:szCs w:val="24"/>
          <w:lang w:val="en-US"/>
        </w:rPr>
        <w:t>Despite these achievements, survival outcomes for metastatic osteosarcoma remain unsatisfactory. Continued research into molecular biology, targeted therapies, immunotherapy, and precision medicine is necessary to address existing limitations and improve future treatment outcomes. The implementation of innovative diagnostic technologies and individualized therapeutic approaches may ultimately contribute to reducing mortality and enhancing the overall prognosis of patients with osteosarcoma.</w:t>
      </w:r>
    </w:p>
    <w:p w14:paraId="161D97D1">
      <w:pPr>
        <w:keepNext w:val="0"/>
        <w:keepLines w:val="0"/>
        <w:widowControl/>
        <w:suppressLineNumbers w:val="0"/>
        <w:spacing w:before="0" w:beforeAutospacing="0" w:after="200" w:afterAutospacing="0" w:line="360" w:lineRule="auto"/>
        <w:ind w:left="0" w:right="0"/>
        <w:jc w:val="center"/>
        <w:rPr>
          <w:rFonts w:hint="default" w:ascii="Times New Roman" w:hAnsi="Times New Roman"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Litrerature:</w:t>
      </w:r>
    </w:p>
    <w:p w14:paraId="0CA944D4">
      <w:pPr>
        <w:pStyle w:val="23"/>
        <w:widowControl/>
        <w:numPr>
          <w:ilvl w:val="0"/>
          <w:numId w:val="1"/>
        </w:numPr>
        <w:spacing w:after="0" w:afterAutospacing="0" w:line="240" w:lineRule="auto"/>
        <w:ind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 xml:space="preserve">  </w:t>
      </w:r>
      <w:r>
        <w:rPr>
          <w:rFonts w:hint="default" w:ascii="Times New Roman" w:hAnsi="Times New Roman" w:eastAsia="Times New Roman" w:cs="Times New Roman"/>
          <w:sz w:val="24"/>
          <w:szCs w:val="24"/>
          <w:lang w:val="en-US" w:eastAsia="ru"/>
        </w:rPr>
        <w:t>Yersal O., Barutca S. Biological Subtypes of Breast Cancer. \ World Journal of Clinical Oncology, 2023. \ Vol. 14(4). \ P. 189–203.</w:t>
      </w:r>
    </w:p>
    <w:p w14:paraId="127683EF">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Gradishar W.J., Moran M.S. NCCN Guidelines for Breast Cancer. \ Journal of the National Comprehensive Cancer Network, 2024. \ Vol. 22(1). \ P. 1–76.</w:t>
      </w:r>
    </w:p>
    <w:p w14:paraId="1D0BCAB8">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Anderson B.O., Ilbawi A.M. Global Breast Cancer Initiative. \ The Breast, 2023. \ Vol. 68. \ P. 100–112.</w:t>
      </w:r>
    </w:p>
    <w:p w14:paraId="133F5AAE">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World Health Organization. Breast Cancer: Fact Sheet. \ Geneva: WHO, 2025. \ 18 p.</w:t>
      </w:r>
    </w:p>
    <w:p w14:paraId="638394EC">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International Agency for Research on Cancer. Global Cancer Observatory: Breast Cancer Facts and Figures. \ Lyon: IARC, 2024. \ 52 p.</w:t>
      </w:r>
    </w:p>
    <w:p w14:paraId="28BA18CF">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American Cancer Society. Breast Cancer Facts &amp; Figures 2024–2025. \ Atlanta: ACS, 2025. \ 64 p.</w:t>
      </w:r>
    </w:p>
    <w:p w14:paraId="70E7A2A0">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European Society for Medical Oncology. Clinical Practice Guidelines for Breast Cancer. \ Annals of Oncology, 2024. \ Vol. 35(5). \ P. 455–487.</w:t>
      </w:r>
    </w:p>
    <w:p w14:paraId="2AC6745F">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National Cancer Institute. Breast Cancer Prevention and Screening. \ Bethesda: NCI, 2024. \ 96 p.</w:t>
      </w:r>
    </w:p>
    <w:p w14:paraId="6A4029BA">
      <w:pPr>
        <w:pStyle w:val="11"/>
        <w:widowControl/>
        <w:numPr>
          <w:ilvl w:val="0"/>
          <w:numId w:val="1"/>
        </w:numPr>
        <w:spacing w:after="0" w:afterAutospacing="0" w:line="240" w:lineRule="auto"/>
        <w:ind w:left="0" w:hanging="360"/>
        <w:contextualSpacing/>
        <w:rPr>
          <w:rFonts w:hint="default" w:ascii="Times New Roman" w:hAnsi="Times New Roman" w:eastAsia="Times New Roman" w:cs="Times New Roman"/>
          <w:sz w:val="24"/>
          <w:szCs w:val="24"/>
          <w:lang w:val="en-US" w:eastAsia="ru"/>
        </w:rPr>
      </w:pPr>
      <w:r>
        <w:rPr>
          <w:rFonts w:hint="default" w:ascii="Times New Roman" w:hAnsi="Times New Roman" w:eastAsia="Times New Roman" w:cs="Times New Roman"/>
          <w:sz w:val="24"/>
          <w:szCs w:val="24"/>
          <w:lang w:val="en-US" w:eastAsia="ru"/>
        </w:rPr>
        <w:t>Siegel R.L., Miller K.D., Fuchs H.E., Jemal A. Cancer Statistics, 2025. \ CA: A Cancer Journal for Clinicians, 2025. \ Vol. 75(1). \ P. 7–36.</w:t>
      </w:r>
    </w:p>
    <w:p w14:paraId="6DBC6DE1">
      <w:pPr>
        <w:keepNext w:val="0"/>
        <w:keepLines w:val="0"/>
        <w:widowControl/>
        <w:suppressLineNumbers w:val="0"/>
        <w:spacing w:before="0" w:beforeAutospacing="0" w:after="200" w:afterAutospacing="0" w:line="360" w:lineRule="auto"/>
        <w:ind w:left="0" w:right="0"/>
        <w:jc w:val="both"/>
        <w:rPr>
          <w:rFonts w:hint="default" w:ascii="Times New Roman" w:hAnsi="Times New Roman" w:eastAsia="Times New Roman" w:cs="Times New Roman"/>
          <w:sz w:val="24"/>
          <w:szCs w:val="24"/>
          <w:lang w:val="en-US" w:eastAsia="ru"/>
        </w:rPr>
      </w:pPr>
    </w:p>
    <w:p w14:paraId="08FF3D86">
      <w:pPr>
        <w:rPr>
          <w:sz w:val="24"/>
          <w:szCs w:val="24"/>
        </w:rPr>
      </w:pPr>
    </w:p>
    <w:sectPr>
      <w:headerReference r:id="rId5" w:type="default"/>
      <w:footerReference r:id="rId6" w:type="default"/>
      <w:pgSz w:w="11906" w:h="16838"/>
      <w:pgMar w:top="1134" w:right="1133" w:bottom="1134" w:left="1134" w:header="57" w:footer="737" w:gutter="0"/>
      <w:pgNumType w:fmt="decimal" w:start="152"/>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QHVLSN+Calibri">
    <w:altName w:val="Calibri"/>
    <w:panose1 w:val="00000000000000000000"/>
    <w:charset w:val="CC"/>
    <w:family w:val="swiss"/>
    <w:pitch w:val="default"/>
    <w:sig w:usb0="00000000" w:usb1="00000000" w:usb2="00000000" w:usb3="00000000" w:csb0="00000004" w:csb1="00000000"/>
  </w:font>
  <w:font w:name="Book Antiqua">
    <w:panose1 w:val="02040602050305030304"/>
    <w:charset w:val="CC"/>
    <w:family w:val="roman"/>
    <w:pitch w:val="default"/>
    <w:sig w:usb0="00000287" w:usb1="00000000" w:usb2="00000000" w:usb3="00000000" w:csb0="2000009F" w:csb1="DFD70000"/>
  </w:font>
  <w:font w:name="Cambria">
    <w:panose1 w:val="02040503050406030204"/>
    <w:charset w:val="00"/>
    <w:family w:val="auto"/>
    <w:pitch w:val="default"/>
    <w:sig w:usb0="E00006FF" w:usb1="420024FF" w:usb2="02000000" w:usb3="00000000" w:csb0="2000019F" w:csb1="00000000"/>
  </w:font>
  <w:font w:name="Cambria Math">
    <w:panose1 w:val="02040503050406030204"/>
    <w:charset w:val="CC"/>
    <w:family w:val="auto"/>
    <w:pitch w:val="variable"/>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2CBFF">
    <w:pPr>
      <w:pStyle w:val="10"/>
      <w:pBdr>
        <w:top w:val="single" w:color="auto" w:sz="4" w:space="1"/>
      </w:pBdr>
      <w:jc w:val="right"/>
      <w:rPr>
        <w:rFonts w:ascii="Book Antiqua" w:hAnsi="Book Antiqua"/>
        <w:color w:val="376092" w:themeColor="accent1" w:themeShade="BF"/>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55943"/>
                            <w:docPartObj>
                              <w:docPartGallery w:val="autotext"/>
                            </w:docPartObj>
                          </w:sdtPr>
                          <w:sdtEndPr>
                            <w:rPr>
                              <w:rFonts w:ascii="Book Antiqua" w:hAnsi="Book Antiqua"/>
                              <w:color w:val="376092" w:themeColor="accent1" w:themeShade="BF"/>
                              <w:sz w:val="24"/>
                              <w:szCs w:val="24"/>
                            </w:rPr>
                          </w:sdtEndPr>
                          <w:sdtContent>
                            <w:p w14:paraId="3727DC56">
                              <w:pPr>
                                <w:pStyle w:val="10"/>
                                <w:pBdr>
                                  <w:top w:val="single" w:color="auto" w:sz="4" w:space="1"/>
                                </w:pBdr>
                                <w:jc w:val="right"/>
                                <w:rPr>
                                  <w:rFonts w:ascii="Book Antiqua" w:hAnsi="Book Antiqua"/>
                                  <w:color w:val="376092" w:themeColor="accent1" w:themeShade="BF"/>
                                  <w:sz w:val="24"/>
                                  <w:szCs w:val="24"/>
                                </w:rPr>
                              </w:pPr>
                              <w:r>
                                <w:rPr>
                                  <w:rFonts w:ascii="Book Antiqua" w:hAnsi="Book Antiqua"/>
                                  <w:color w:val="376092" w:themeColor="accent1" w:themeShade="BF"/>
                                  <w:sz w:val="24"/>
                                  <w:szCs w:val="24"/>
                                </w:rPr>
                                <w:fldChar w:fldCharType="begin"/>
                              </w:r>
                              <w:r>
                                <w:rPr>
                                  <w:rFonts w:ascii="Book Antiqua" w:hAnsi="Book Antiqua"/>
                                  <w:color w:val="376092" w:themeColor="accent1" w:themeShade="BF"/>
                                  <w:sz w:val="24"/>
                                  <w:szCs w:val="24"/>
                                </w:rPr>
                                <w:instrText xml:space="preserve">PAGE   \* MERGEFORMAT</w:instrText>
                              </w:r>
                              <w:r>
                                <w:rPr>
                                  <w:rFonts w:ascii="Book Antiqua" w:hAnsi="Book Antiqua"/>
                                  <w:color w:val="376092" w:themeColor="accent1" w:themeShade="BF"/>
                                  <w:sz w:val="24"/>
                                  <w:szCs w:val="24"/>
                                </w:rPr>
                                <w:fldChar w:fldCharType="separate"/>
                              </w:r>
                              <w:r>
                                <w:rPr>
                                  <w:rFonts w:ascii="Book Antiqua" w:hAnsi="Book Antiqua"/>
                                  <w:color w:val="376092" w:themeColor="accent1" w:themeShade="BF"/>
                                  <w:sz w:val="24"/>
                                  <w:szCs w:val="24"/>
                                </w:rPr>
                                <w:t>5</w:t>
                              </w:r>
                              <w:r>
                                <w:rPr>
                                  <w:rFonts w:ascii="Book Antiqua" w:hAnsi="Book Antiqua"/>
                                  <w:color w:val="376092" w:themeColor="accent1" w:themeShade="BF"/>
                                  <w:sz w:val="24"/>
                                  <w:szCs w:val="24"/>
                                </w:rPr>
                                <w:fldChar w:fldCharType="end"/>
                              </w:r>
                            </w:p>
                          </w:sdtContent>
                        </w:sdt>
                        <w:p w14:paraId="61AE6362">
                          <w:pPr>
                            <w:rPr>
                              <w:rFonts w:ascii="Book Antiqua" w:hAnsi="Book Antiqua"/>
                              <w:color w:val="376092" w:themeColor="accent1" w:themeShade="BF"/>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LNJWO7QAAAABQEAAA8AAAAAAAAAAQAgAAAAIgAAAGRycy9k&#10;b3ducmV2LnhtbFBLAQIUABQAAAAIAIdO4kCqRMXX7gIAADYGAAAOAAAAAAAAAAEAIAAAAB8BAABk&#10;cnMvZTJvRG9jLnhtbFBLBQYAAAAABgAGAFkBAAB/BgAAAAA=&#10;">
              <v:fill on="f" focussize="0,0"/>
              <v:stroke on="f" weight="0.5pt"/>
              <v:imagedata o:title=""/>
              <o:lock v:ext="edit" aspectratio="f"/>
              <v:textbox inset="0mm,0mm,0mm,0mm" style="mso-fit-shape-to-text:t;">
                <w:txbxContent>
                  <w:sdt>
                    <w:sdtPr>
                      <w:id w:val="147455943"/>
                      <w:docPartObj>
                        <w:docPartGallery w:val="autotext"/>
                      </w:docPartObj>
                    </w:sdtPr>
                    <w:sdtEndPr>
                      <w:rPr>
                        <w:rFonts w:ascii="Book Antiqua" w:hAnsi="Book Antiqua"/>
                        <w:color w:val="376092" w:themeColor="accent1" w:themeShade="BF"/>
                        <w:sz w:val="24"/>
                        <w:szCs w:val="24"/>
                      </w:rPr>
                    </w:sdtEndPr>
                    <w:sdtContent>
                      <w:p w14:paraId="3727DC56">
                        <w:pPr>
                          <w:pStyle w:val="10"/>
                          <w:pBdr>
                            <w:top w:val="single" w:color="auto" w:sz="4" w:space="1"/>
                          </w:pBdr>
                          <w:jc w:val="right"/>
                          <w:rPr>
                            <w:rFonts w:ascii="Book Antiqua" w:hAnsi="Book Antiqua"/>
                            <w:color w:val="376092" w:themeColor="accent1" w:themeShade="BF"/>
                            <w:sz w:val="24"/>
                            <w:szCs w:val="24"/>
                          </w:rPr>
                        </w:pPr>
                        <w:r>
                          <w:rPr>
                            <w:rFonts w:ascii="Book Antiqua" w:hAnsi="Book Antiqua"/>
                            <w:color w:val="376092" w:themeColor="accent1" w:themeShade="BF"/>
                            <w:sz w:val="24"/>
                            <w:szCs w:val="24"/>
                          </w:rPr>
                          <w:fldChar w:fldCharType="begin"/>
                        </w:r>
                        <w:r>
                          <w:rPr>
                            <w:rFonts w:ascii="Book Antiqua" w:hAnsi="Book Antiqua"/>
                            <w:color w:val="376092" w:themeColor="accent1" w:themeShade="BF"/>
                            <w:sz w:val="24"/>
                            <w:szCs w:val="24"/>
                          </w:rPr>
                          <w:instrText xml:space="preserve">PAGE   \* MERGEFORMAT</w:instrText>
                        </w:r>
                        <w:r>
                          <w:rPr>
                            <w:rFonts w:ascii="Book Antiqua" w:hAnsi="Book Antiqua"/>
                            <w:color w:val="376092" w:themeColor="accent1" w:themeShade="BF"/>
                            <w:sz w:val="24"/>
                            <w:szCs w:val="24"/>
                          </w:rPr>
                          <w:fldChar w:fldCharType="separate"/>
                        </w:r>
                        <w:r>
                          <w:rPr>
                            <w:rFonts w:ascii="Book Antiqua" w:hAnsi="Book Antiqua"/>
                            <w:color w:val="376092" w:themeColor="accent1" w:themeShade="BF"/>
                            <w:sz w:val="24"/>
                            <w:szCs w:val="24"/>
                          </w:rPr>
                          <w:t>5</w:t>
                        </w:r>
                        <w:r>
                          <w:rPr>
                            <w:rFonts w:ascii="Book Antiqua" w:hAnsi="Book Antiqua"/>
                            <w:color w:val="376092" w:themeColor="accent1" w:themeShade="BF"/>
                            <w:sz w:val="24"/>
                            <w:szCs w:val="24"/>
                          </w:rPr>
                          <w:fldChar w:fldCharType="end"/>
                        </w:r>
                      </w:p>
                    </w:sdtContent>
                  </w:sdt>
                  <w:p w14:paraId="61AE6362">
                    <w:pPr>
                      <w:rPr>
                        <w:rFonts w:ascii="Book Antiqua" w:hAnsi="Book Antiqua"/>
                        <w:color w:val="376092" w:themeColor="accent1" w:themeShade="BF"/>
                        <w:sz w:val="24"/>
                        <w:szCs w:val="24"/>
                      </w:rPr>
                    </w:pPr>
                  </w:p>
                </w:txbxContent>
              </v:textbox>
            </v:shape>
          </w:pict>
        </mc:Fallback>
      </mc:AlternateContent>
    </w:r>
  </w:p>
  <w:p w14:paraId="77E8F4DD">
    <w:pPr>
      <w:pStyle w:val="10"/>
      <w:rPr>
        <w:rFonts w:ascii="Times New Roman" w:hAnsi="Times New Roman"/>
        <w:color w:val="254061" w:themeColor="accent1" w:themeShade="80"/>
        <w:sz w:val="2"/>
        <w:szCs w:val="2"/>
        <w:vertAlign w:val="subscri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4" w:lineRule="auto"/>
      </w:pPr>
      <w:r>
        <w:separator/>
      </w:r>
    </w:p>
  </w:footnote>
  <w:footnote w:type="continuationSeparator" w:id="1">
    <w:p>
      <w:pPr>
        <w:spacing w:before="0" w:after="0" w:line="25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BDCC6">
    <w:pPr>
      <w:pStyle w:val="9"/>
      <w:pBdr>
        <w:bottom w:val="single" w:color="auto" w:sz="4" w:space="1"/>
      </w:pBdr>
      <w:ind w:left="2127"/>
      <w:jc w:val="center"/>
      <w:rPr>
        <w:rFonts w:ascii="Book Antiqua" w:hAnsi="Book Antiqua"/>
        <w:color w:val="376092" w:themeColor="accent1" w:themeShade="BF"/>
        <w:sz w:val="24"/>
        <w:szCs w:val="24"/>
        <w:lang w:val="en-US"/>
      </w:rPr>
    </w:pPr>
    <w:r>
      <w:rPr>
        <w:rFonts w:ascii="Book Antiqua" w:hAnsi="Book Antiqua"/>
        <w:b/>
        <w:color w:val="376092" w:themeColor="accent1" w:themeShade="BF"/>
        <w:sz w:val="24"/>
        <w:szCs w:val="24"/>
        <w:lang w:eastAsia="ru-RU"/>
      </w:rPr>
      <w:drawing>
        <wp:anchor distT="0" distB="0" distL="114300" distR="114300" simplePos="0" relativeHeight="251659264" behindDoc="1" locked="0" layoutInCell="1" allowOverlap="1">
          <wp:simplePos x="0" y="0"/>
          <wp:positionH relativeFrom="column">
            <wp:posOffset>-96520</wp:posOffset>
          </wp:positionH>
          <wp:positionV relativeFrom="paragraph">
            <wp:posOffset>126365</wp:posOffset>
          </wp:positionV>
          <wp:extent cx="2297430" cy="554355"/>
          <wp:effectExtent l="0" t="0" r="0" b="0"/>
          <wp:wrapTight wrapText="bothSides">
            <wp:wrapPolygon>
              <wp:start x="1970" y="0"/>
              <wp:lineTo x="896" y="8907"/>
              <wp:lineTo x="1075" y="20784"/>
              <wp:lineTo x="17015" y="20784"/>
              <wp:lineTo x="20060" y="16330"/>
              <wp:lineTo x="19164" y="12619"/>
              <wp:lineTo x="20418" y="11876"/>
              <wp:lineTo x="20418" y="5196"/>
              <wp:lineTo x="3045" y="0"/>
              <wp:lineTo x="197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extLst>
                      <a:ext uri="{BEBA8EAE-BF5A-486C-A8C5-ECC9F3942E4B}">
                        <a14:imgProps xmlns:a14="http://schemas.microsoft.com/office/drawing/2010/main">
                          <a14:imgLayer r:embed="rId2">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2297430" cy="554355"/>
                  </a:xfrm>
                  <a:prstGeom prst="rect">
                    <a:avLst/>
                  </a:prstGeom>
                </pic:spPr>
              </pic:pic>
            </a:graphicData>
          </a:graphic>
        </wp:anchor>
      </w:drawing>
    </w:r>
    <w:r>
      <w:rPr>
        <w:rFonts w:ascii="Book Antiqua" w:hAnsi="Book Antiqua"/>
        <w:b/>
        <w:color w:val="376092" w:themeColor="accent1" w:themeShade="BF"/>
        <w:sz w:val="24"/>
        <w:szCs w:val="24"/>
        <w:lang w:val="en-US"/>
      </w:rPr>
      <w:t>JOURNAL OF MEDICINE AND PHARMACY</w:t>
    </w:r>
    <w:r>
      <w:rPr>
        <w:rFonts w:ascii="Book Antiqua" w:hAnsi="Book Antiqua"/>
        <w:color w:val="376092" w:themeColor="accent1" w:themeShade="BF"/>
        <w:sz w:val="24"/>
        <w:szCs w:val="24"/>
        <w:lang w:val="en-US"/>
      </w:rPr>
      <w:br w:type="textWrapping"/>
    </w:r>
    <w:r>
      <w:rPr>
        <w:rFonts w:asciiTheme="majorHAnsi" w:hAnsiTheme="majorHAnsi"/>
        <w:b/>
        <w:color w:val="376092" w:themeColor="accent1" w:themeShade="BF"/>
        <w:sz w:val="24"/>
        <w:szCs w:val="24"/>
        <w:lang w:val="en-US"/>
      </w:rPr>
      <w:t>ISSN(Online):</w:t>
    </w:r>
    <w:r>
      <w:rPr>
        <w:rFonts w:asciiTheme="majorHAnsi" w:hAnsiTheme="majorHAnsi"/>
        <w:color w:val="376092" w:themeColor="accent1" w:themeShade="BF"/>
        <w:sz w:val="24"/>
        <w:szCs w:val="24"/>
        <w:lang w:val="en-US"/>
      </w:rPr>
      <w:t xml:space="preserve"> 2984-7117</w:t>
    </w:r>
    <w:r>
      <w:rPr>
        <w:rFonts w:ascii="Book Antiqua" w:hAnsi="Book Antiqua"/>
        <w:color w:val="376092" w:themeColor="accent1" w:themeShade="BF"/>
        <w:sz w:val="24"/>
        <w:szCs w:val="24"/>
        <w:lang w:val="en-US"/>
      </w:rPr>
      <w:br w:type="textWrapping"/>
    </w:r>
    <w:r>
      <w:rPr>
        <w:rFonts w:ascii="Book Antiqua" w:hAnsi="Book Antiqua"/>
        <w:color w:val="376092" w:themeColor="accent1" w:themeShade="BF"/>
        <w:sz w:val="24"/>
        <w:szCs w:val="24"/>
        <w:lang w:val="en-US"/>
      </w:rPr>
      <w:t>Volume-9, Issue-02, Published |01-04-2026|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0BB593"/>
    <w:multiLevelType w:val="multilevel"/>
    <w:tmpl w:val="A10BB593"/>
    <w:lvl w:ilvl="0" w:tentative="0">
      <w:start w:val="1"/>
      <w:numFmt w:val="decimal"/>
      <w:lvlText w:val="%1."/>
      <w:lvlJc w:val="left"/>
      <w:pPr>
        <w:ind w:left="720" w:hanging="360"/>
      </w:pPr>
      <w:rPr>
        <w:rFonts w:hAnsi="Symbol"/>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08"/>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BA3"/>
    <w:rsid w:val="000A4642"/>
    <w:rsid w:val="00140060"/>
    <w:rsid w:val="00156889"/>
    <w:rsid w:val="001A2102"/>
    <w:rsid w:val="001A598B"/>
    <w:rsid w:val="001D1EDF"/>
    <w:rsid w:val="001F244D"/>
    <w:rsid w:val="001F7508"/>
    <w:rsid w:val="00242C13"/>
    <w:rsid w:val="002C1DB9"/>
    <w:rsid w:val="002E7A6A"/>
    <w:rsid w:val="002F3E74"/>
    <w:rsid w:val="00336240"/>
    <w:rsid w:val="00357689"/>
    <w:rsid w:val="003C57A5"/>
    <w:rsid w:val="004C310F"/>
    <w:rsid w:val="004D0880"/>
    <w:rsid w:val="004F1F72"/>
    <w:rsid w:val="00547FB7"/>
    <w:rsid w:val="005B6225"/>
    <w:rsid w:val="005D67F5"/>
    <w:rsid w:val="005F1A14"/>
    <w:rsid w:val="006F1A58"/>
    <w:rsid w:val="008D060C"/>
    <w:rsid w:val="0090173C"/>
    <w:rsid w:val="00907FE0"/>
    <w:rsid w:val="009D161E"/>
    <w:rsid w:val="009D795B"/>
    <w:rsid w:val="009E454B"/>
    <w:rsid w:val="00A13E48"/>
    <w:rsid w:val="00A217ED"/>
    <w:rsid w:val="00A51265"/>
    <w:rsid w:val="00AA520D"/>
    <w:rsid w:val="00AE3089"/>
    <w:rsid w:val="00B11AFF"/>
    <w:rsid w:val="00B3576B"/>
    <w:rsid w:val="00B90A60"/>
    <w:rsid w:val="00B97887"/>
    <w:rsid w:val="00BA1DC1"/>
    <w:rsid w:val="00C76E00"/>
    <w:rsid w:val="00C80256"/>
    <w:rsid w:val="00DA0E4E"/>
    <w:rsid w:val="00E03849"/>
    <w:rsid w:val="00E262D1"/>
    <w:rsid w:val="00E73BA3"/>
    <w:rsid w:val="00EB0532"/>
    <w:rsid w:val="00EF614C"/>
    <w:rsid w:val="00F30B49"/>
    <w:rsid w:val="00F57F74"/>
    <w:rsid w:val="00F80339"/>
    <w:rsid w:val="00F95569"/>
    <w:rsid w:val="00FF411C"/>
    <w:rsid w:val="747919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unhideWhenUsed="0" w:uiPriority="63" w:semiHidden="0" w:name="Medium Shading 1 Accent 3"/>
  </w:latentStyles>
  <w:style w:type="paragraph" w:default="1" w:styleId="1">
    <w:name w:val="Normal"/>
    <w:qFormat/>
    <w:uiPriority w:val="0"/>
    <w:pPr>
      <w:spacing w:after="160" w:line="254" w:lineRule="auto"/>
    </w:pPr>
    <w:rPr>
      <w:rFonts w:ascii="Calibri" w:hAnsi="Calibri" w:eastAsia="Calibri" w:cs="Times New Roman"/>
      <w:sz w:val="22"/>
      <w:szCs w:val="22"/>
      <w:lang w:val="ru-RU" w:eastAsia="en-US" w:bidi="ar-SA"/>
    </w:rPr>
  </w:style>
  <w:style w:type="paragraph" w:styleId="2">
    <w:name w:val="heading 1"/>
    <w:basedOn w:val="1"/>
    <w:next w:val="1"/>
    <w:link w:val="19"/>
    <w:qFormat/>
    <w:uiPriority w:val="9"/>
    <w:pPr>
      <w:keepNext/>
      <w:keepLines/>
      <w:spacing w:before="480" w:after="0" w:line="240" w:lineRule="auto"/>
      <w:outlineLvl w:val="0"/>
    </w:pPr>
    <w:rPr>
      <w:rFonts w:asciiTheme="majorHAnsi" w:hAnsiTheme="majorHAnsi" w:eastAsiaTheme="majorEastAsia" w:cstheme="majorBidi"/>
      <w:b/>
      <w:bCs/>
      <w:color w:val="376092" w:themeColor="accent1" w:themeShade="BF"/>
      <w:sz w:val="28"/>
      <w:szCs w:val="28"/>
    </w:rPr>
  </w:style>
  <w:style w:type="paragraph" w:styleId="3">
    <w:name w:val="heading 2"/>
    <w:next w:val="1"/>
    <w:link w:val="21"/>
    <w:semiHidden/>
    <w:unhideWhenUsed/>
    <w:qFormat/>
    <w:uiPriority w:val="9"/>
    <w:pPr>
      <w:keepNext w:val="0"/>
      <w:keepLines w:val="0"/>
      <w:widowControl/>
      <w:suppressLineNumbers w:val="0"/>
      <w:spacing w:before="0" w:beforeAutospacing="1" w:after="0" w:afterAutospacing="1" w:line="240" w:lineRule="auto"/>
      <w:ind w:left="0" w:right="0"/>
      <w:jc w:val="left"/>
      <w:outlineLvl w:val="1"/>
    </w:pPr>
    <w:rPr>
      <w:rFonts w:hint="default" w:ascii="Times New Roman" w:hAnsi="Times New Roman" w:eastAsia="Times New Roman" w:cs="Times New Roman"/>
      <w:b/>
      <w:bCs/>
      <w:i/>
      <w:iCs/>
      <w:kern w:val="0"/>
      <w:sz w:val="36"/>
      <w:szCs w:val="36"/>
      <w:lang w:val="en-US" w:eastAsia="zh-CN" w:bidi="ar"/>
    </w:rPr>
  </w:style>
  <w:style w:type="character" w:default="1" w:styleId="4">
    <w:name w:val="Default Paragraph Font"/>
    <w:semiHidden/>
    <w:unhideWhenUsed/>
    <w:uiPriority w:val="1"/>
  </w:style>
  <w:style w:type="table" w:default="1" w:styleId="5">
    <w:name w:val="Normal Table"/>
    <w:semiHidden/>
    <w:unhideWhenUsed/>
    <w:uiPriority w:val="99"/>
    <w:pPr>
      <w:keepNext w:val="0"/>
      <w:keepLines w:val="0"/>
      <w:widowControl/>
      <w:suppressLineNumbers w:val="0"/>
      <w:spacing w:before="0" w:beforeAutospacing="0" w:after="200" w:afterAutospacing="0" w:line="276" w:lineRule="auto"/>
      <w:ind w:left="0" w:right="0"/>
    </w:pPr>
    <w:rPr>
      <w:rFonts w:ascii="Calibri" w:hAnsi="Calibri" w:cs="Times New Roman"/>
      <w:sz w:val="22"/>
      <w:szCs w:val="22"/>
      <w:lang w:eastAsia="en-US"/>
    </w:rPr>
    <w:tblPr>
      <w:tblCellMar>
        <w:top w:w="0" w:type="dxa"/>
        <w:left w:w="100" w:type="dxa"/>
        <w:bottom w:w="0" w:type="dxa"/>
        <w:right w:w="100" w:type="dxa"/>
      </w:tblCellMar>
    </w:tblPr>
  </w:style>
  <w:style w:type="character" w:styleId="6">
    <w:name w:val="Hyperlink"/>
    <w:basedOn w:val="4"/>
    <w:unhideWhenUsed/>
    <w:uiPriority w:val="99"/>
    <w:rPr>
      <w:color w:val="0000FF" w:themeColor="hyperlink"/>
      <w:u w:val="single"/>
      <w14:textFill>
        <w14:solidFill>
          <w14:schemeClr w14:val="hlink"/>
        </w14:solidFill>
      </w14:textFill>
    </w:rPr>
  </w:style>
  <w:style w:type="character" w:styleId="7">
    <w:name w:val="Strong"/>
    <w:basedOn w:val="4"/>
    <w:qFormat/>
    <w:uiPriority w:val="22"/>
    <w:rPr>
      <w:b/>
      <w:bCs/>
    </w:rPr>
  </w:style>
  <w:style w:type="paragraph" w:styleId="8">
    <w:name w:val="Balloon Text"/>
    <w:basedOn w:val="1"/>
    <w:link w:val="15"/>
    <w:semiHidden/>
    <w:unhideWhenUsed/>
    <w:uiPriority w:val="99"/>
    <w:pPr>
      <w:spacing w:after="0" w:line="240" w:lineRule="auto"/>
    </w:pPr>
    <w:rPr>
      <w:rFonts w:ascii="Tahoma" w:hAnsi="Tahoma" w:cs="Tahoma"/>
      <w:sz w:val="16"/>
      <w:szCs w:val="16"/>
    </w:rPr>
  </w:style>
  <w:style w:type="paragraph" w:styleId="9">
    <w:name w:val="header"/>
    <w:basedOn w:val="1"/>
    <w:link w:val="13"/>
    <w:unhideWhenUsed/>
    <w:qFormat/>
    <w:uiPriority w:val="99"/>
    <w:pPr>
      <w:tabs>
        <w:tab w:val="center" w:pos="4677"/>
        <w:tab w:val="right" w:pos="9355"/>
      </w:tabs>
      <w:spacing w:after="0" w:line="240" w:lineRule="auto"/>
    </w:pPr>
  </w:style>
  <w:style w:type="paragraph" w:styleId="10">
    <w:name w:val="footer"/>
    <w:basedOn w:val="1"/>
    <w:link w:val="14"/>
    <w:unhideWhenUsed/>
    <w:qFormat/>
    <w:uiPriority w:val="99"/>
    <w:pPr>
      <w:tabs>
        <w:tab w:val="center" w:pos="4677"/>
        <w:tab w:val="right" w:pos="9355"/>
      </w:tabs>
      <w:spacing w:after="0" w:line="240" w:lineRule="auto"/>
    </w:pPr>
  </w:style>
  <w:style w:type="paragraph" w:styleId="11">
    <w:name w:val="Normal (Web)"/>
    <w:semiHidden/>
    <w:unhideWhenUsed/>
    <w:uiPriority w:val="99"/>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table" w:styleId="12">
    <w:name w:val="Table Grid"/>
    <w:basedOn w:val="5"/>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Верхний колонтитул Знак"/>
    <w:basedOn w:val="4"/>
    <w:link w:val="9"/>
    <w:uiPriority w:val="99"/>
  </w:style>
  <w:style w:type="character" w:customStyle="1" w:styleId="14">
    <w:name w:val="Нижний колонтитул Знак"/>
    <w:basedOn w:val="4"/>
    <w:link w:val="10"/>
    <w:uiPriority w:val="99"/>
  </w:style>
  <w:style w:type="character" w:customStyle="1" w:styleId="15">
    <w:name w:val="Текст выноски Знак"/>
    <w:basedOn w:val="4"/>
    <w:link w:val="8"/>
    <w:semiHidden/>
    <w:uiPriority w:val="99"/>
    <w:rPr>
      <w:rFonts w:ascii="Tahoma" w:hAnsi="Tahoma" w:cs="Tahoma"/>
      <w:sz w:val="16"/>
      <w:szCs w:val="16"/>
    </w:rPr>
  </w:style>
  <w:style w:type="paragraph" w:styleId="16">
    <w:name w:val="List Paragraph"/>
    <w:basedOn w:val="1"/>
    <w:qFormat/>
    <w:uiPriority w:val="34"/>
    <w:pPr>
      <w:ind w:left="720"/>
      <w:contextualSpacing/>
    </w:pPr>
  </w:style>
  <w:style w:type="paragraph" w:customStyle="1" w:styleId="17">
    <w:name w:val="Шаблон"/>
    <w:qFormat/>
    <w:uiPriority w:val="99"/>
    <w:pPr>
      <w:spacing w:after="0" w:line="288" w:lineRule="auto"/>
      <w:jc w:val="center"/>
    </w:pPr>
    <w:rPr>
      <w:rFonts w:ascii="Tahoma" w:hAnsi="Tahoma" w:eastAsia="Times New Roman" w:cs="Times New Roman"/>
      <w:sz w:val="16"/>
      <w:szCs w:val="20"/>
      <w:lang w:val="ru-RU" w:eastAsia="ru-RU" w:bidi="ar-SA"/>
    </w:rPr>
  </w:style>
  <w:style w:type="paragraph" w:customStyle="1" w:styleId="18">
    <w:name w:val="Default"/>
    <w:uiPriority w:val="0"/>
    <w:pPr>
      <w:autoSpaceDE w:val="0"/>
      <w:autoSpaceDN w:val="0"/>
      <w:adjustRightInd w:val="0"/>
      <w:spacing w:after="0" w:line="240" w:lineRule="auto"/>
    </w:pPr>
    <w:rPr>
      <w:rFonts w:ascii="QHVLSN+Calibri" w:hAnsi="QHVLSN+Calibri" w:eastAsia="Calibri" w:cs="QHVLSN+Calibri"/>
      <w:color w:val="000000"/>
      <w:sz w:val="24"/>
      <w:szCs w:val="24"/>
      <w:lang w:val="ru-RU" w:eastAsia="ru-RU" w:bidi="ar-SA"/>
    </w:rPr>
  </w:style>
  <w:style w:type="character" w:customStyle="1" w:styleId="19">
    <w:name w:val="Заголовок 1 Знак"/>
    <w:basedOn w:val="4"/>
    <w:link w:val="2"/>
    <w:uiPriority w:val="9"/>
    <w:rPr>
      <w:rFonts w:asciiTheme="majorHAnsi" w:hAnsiTheme="majorHAnsi" w:eastAsiaTheme="majorEastAsia" w:cstheme="majorBidi"/>
      <w:b/>
      <w:bCs/>
      <w:color w:val="376092" w:themeColor="accent1" w:themeShade="BF"/>
      <w:sz w:val="28"/>
      <w:szCs w:val="28"/>
    </w:rPr>
  </w:style>
  <w:style w:type="table" w:styleId="20">
    <w:name w:val="Medium Shading 1 Accent 3"/>
    <w:basedOn w:val="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character" w:customStyle="1" w:styleId="21">
    <w:name w:val="Заголовок 2 Знак"/>
    <w:link w:val="3"/>
    <w:uiPriority w:val="0"/>
    <w:rPr>
      <w:rFonts w:hint="default" w:ascii="Times New Roman" w:hAnsi="Times New Roman" w:eastAsia="Times New Roman" w:cs="Times New Roman"/>
      <w:b/>
      <w:bCs/>
      <w:sz w:val="36"/>
      <w:szCs w:val="36"/>
      <w:lang w:eastAsia="ru"/>
    </w:rPr>
  </w:style>
  <w:style w:type="paragraph" w:customStyle="1" w:styleId="22">
    <w:name w:val="isselectedend"/>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paragraph" w:customStyle="1" w:styleId="23">
    <w:name w:val="msolistparagraph"/>
    <w:uiPriority w:val="0"/>
    <w:pPr>
      <w:keepNext w:val="0"/>
      <w:keepLines w:val="0"/>
      <w:widowControl/>
      <w:suppressLineNumbers w:val="0"/>
      <w:spacing w:before="0" w:beforeAutospacing="0" w:after="200" w:afterAutospacing="0" w:line="276" w:lineRule="auto"/>
      <w:ind w:left="720" w:right="0"/>
      <w:contextualSpacing/>
      <w:jc w:val="left"/>
    </w:pPr>
    <w:rPr>
      <w:rFonts w:ascii="Calibri" w:hAnsi="Calibri" w:eastAsia="Calibri" w:cs="Times New Roman"/>
      <w:kern w:val="0"/>
      <w:sz w:val="22"/>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microsoft.com/office/2007/relationships/hdphoto" Target="media/image2.wdp"/><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5</Pages>
  <Words>0</Words>
  <Characters>0</Characters>
  <Lines>0</Lines>
  <Paragraphs>0</Paragraphs>
  <TotalTime>2</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2026-04-01T05:27:00Z</dcterms:created>
  <dc:creator>User</dc:creator>
  <cp:lastModifiedBy>Maftuna Choriyeva</cp:lastModifiedBy>
  <cp:lastPrinted>2023-12-28T05:05:00Z</cp:lastPrinted>
  <dcterms:modified xsi:type="dcterms:W3CDTF">2026-06-18T17:01:45Z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eyJoZGlkIjoiYzYzNDFiYmUwYzZjMmRmNzUyOWZlOWU3ZmQ1N2Y3NDEiLCJ1c2VySWQiOiI0NjkwNTk1MzI4Mzk4In0=</vt:lpwstr>
  </property>
  <property fmtid="{D5CDD505-2E9C-101B-9397-08002B2CF9AE}" pid="3" name="KSOProductBuildVer">
    <vt:lpwstr>1049-12.1.0.26880</vt:lpwstr>
  </property>
  <property fmtid="{D5CDD505-2E9C-101B-9397-08002B2CF9AE}" pid="4" name="ICV">
    <vt:lpwstr>436EFAEB7FA7438FB4C6E21F65258AB2_13</vt:lpwstr>
  </property>
</Properties>
</file>